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CONTRATO DE TRABAJO DEL SERVICIO DEL HOGAR FAMILIAR</w:t>
      </w:r>
    </w:p>
    <w:p>
      <w:pPr>
        <w:jc w:val="center"/>
      </w:pPr>
      <w:r>
        <w:rPr>
          <w:b w:val="0"/>
          <w:i/>
          <w:sz w:val="18"/>
        </w:rPr>
        <w:t>(Real Decreto 1620/2011, de 14 de noviembre, relación laboral de carácter especial)</w:t>
      </w:r>
    </w:p>
    <w:p>
      <w:r>
        <w:rPr>
          <w:b w:val="0"/>
          <w:i w:val="0"/>
        </w:rPr>
        <w:t>En [localidad], a [día] de [mes] de [año].</w:t>
      </w:r>
    </w:p>
    <w:p>
      <w:pPr>
        <w:spacing w:before="200"/>
      </w:pPr>
      <w:r>
        <w:rPr>
          <w:b/>
          <w:color w:val="1E3A5F"/>
        </w:rPr>
        <w:t>REUNIDOS</w:t>
      </w:r>
    </w:p>
    <w:p>
      <w:r>
        <w:rPr>
          <w:b w:val="0"/>
          <w:i w:val="0"/>
        </w:rPr>
        <w:t>De una parte, como PERSONA EMPLEADORA (titular del hogar familiar), D./D.ª [nombre y apellidos], con DNI/NIE [número], domicilio en [dirección del hogar donde se prestan los servicios] y código de cuenta de cotización [número] en el Sistema Especial para Empleados de Hogar.</w:t>
      </w:r>
    </w:p>
    <w:p>
      <w:r>
        <w:rPr>
          <w:b w:val="0"/>
          <w:i w:val="0"/>
        </w:rPr>
        <w:t>De otra parte, como PERSONA TRABAJADORA, D./D.ª [nombre y apellidos], con DNI/NIE [número], número de afiliación a la Seguridad Social [número] y domicilio en [dirección].</w:t>
      </w:r>
    </w:p>
    <w:p>
      <w:pPr>
        <w:spacing w:before="200"/>
      </w:pPr>
      <w:r>
        <w:rPr>
          <w:b/>
          <w:color w:val="1E3A5F"/>
        </w:rPr>
        <w:t>CLÁUSULAS</w:t>
      </w:r>
    </w:p>
    <w:p>
      <w:r>
        <w:rPr>
          <w:b/>
          <w:i w:val="0"/>
        </w:rPr>
        <w:t>PRIMERA. Objeto.</w:t>
      </w:r>
      <w:r>
        <w:rPr>
          <w:b w:val="0"/>
          <w:i w:val="0"/>
        </w:rPr>
        <w:t xml:space="preserve"> La persona trabajadora prestará servicios en el hogar familiar consistentes en [tareas domésticas / cuidado de miembros de la familia / guardería, jardinería o conducción de vehículos como parte del conjunto de tareas domésticas: detallar].</w:t>
      </w:r>
    </w:p>
    <w:p>
      <w:r>
        <w:rPr>
          <w:b/>
          <w:i w:val="0"/>
        </w:rPr>
        <w:t>SEGUNDA. Duración.</w:t>
      </w:r>
      <w:r>
        <w:rPr>
          <w:b w:val="0"/>
          <w:i w:val="0"/>
        </w:rPr>
        <w:t xml:space="preserve"> El contrato es [por tiempo indefinido / de duración determinada por [causa del art. 15 ET] desde el [fecha] hasta el [fecha]]. Fecha de inicio: [fecha].</w:t>
      </w:r>
    </w:p>
    <w:p>
      <w:r>
        <w:rPr>
          <w:b/>
          <w:i w:val="0"/>
        </w:rPr>
        <w:t>TERCERA. Modalidad.</w:t>
      </w:r>
      <w:r>
        <w:rPr>
          <w:b w:val="0"/>
          <w:i w:val="0"/>
        </w:rPr>
        <w:t xml:space="preserve"> Régimen [EXTERNO / INTERNO (con pernocta en el domicilio)]. Régimen de pernoctas, en su caso: [días y condiciones].</w:t>
      </w:r>
    </w:p>
    <w:p>
      <w:r>
        <w:rPr>
          <w:b/>
          <w:i w:val="0"/>
        </w:rPr>
        <w:t>CUARTA. Periodo de prueba.</w:t>
      </w:r>
      <w:r>
        <w:rPr>
          <w:b w:val="0"/>
          <w:i w:val="0"/>
        </w:rPr>
        <w:t xml:space="preserve"> [Opcional] Se pacta un periodo de prueba de [duración, máximo dos meses salvo convenio]. Durante ese periodo cualquiera de las partes podrá resolver la relación con un preaviso de [nº] días naturales, que no podrá exceder de siete (art. 6.2 RD 1620/2011).</w:t>
      </w:r>
    </w:p>
    <w:p>
      <w:r>
        <w:rPr>
          <w:b/>
          <w:i w:val="0"/>
        </w:rPr>
        <w:t>QUINTA. Jornada y horario.</w:t>
      </w:r>
      <w:r>
        <w:rPr>
          <w:b w:val="0"/>
          <w:i w:val="0"/>
        </w:rPr>
        <w:t xml:space="preserve"> Jornada de [nº] horas semanales de trabajo efectivo (máximo 40), con el siguiente horario: [días y franjas]. Descanso entre jornadas de 12 horas [interna: puede reducirse a 10 compensando el resto en periodos de hasta cuatro semanas]. Descanso semanal de 36 horas consecutivas, como regla general [tarde del sábado o mañana del lunes y domingo completo].</w:t>
      </w:r>
    </w:p>
    <w:p>
      <w:r>
        <w:rPr>
          <w:b/>
          <w:i w:val="0"/>
        </w:rPr>
        <w:t>SEXTA. Tiempos de presencia.</w:t>
      </w:r>
      <w:r>
        <w:rPr>
          <w:b w:val="0"/>
          <w:i w:val="0"/>
        </w:rPr>
        <w:t xml:space="preserve"> [Opcional] Se pactan [nº] horas semanales de presencia a disposición de la persona empleadora, retribuidas a [importe por hora, no inferior a la hora ordinaria] o compensadas con descanso. No podrán exceder de 20 horas semanales de promedio en un periodo de referencia de un mes, salvo compensación con descanso (art. 9.2).</w:t>
      </w:r>
    </w:p>
    <w:p>
      <w:r>
        <w:rPr>
          <w:b/>
          <w:i w:val="0"/>
        </w:rPr>
        <w:t>SÉPTIMA. Retribución.</w:t>
      </w:r>
      <w:r>
        <w:rPr>
          <w:b w:val="0"/>
          <w:i w:val="0"/>
        </w:rPr>
        <w:t xml:space="preserve"> Salario de [importe] euros brutos [mensuales / por hora efectivamente trabajada], abonado mediante [transferencia a la cuenta (IBAN) / otra modalidad acordada] el día [día] de cada mes. Nunca inferior al salario mínimo interprofesional vigente en proporción a la jornada (o al salario mínimo por hora para empleados de hogar si trabaja por horas en régimen externo).</w:t>
      </w:r>
    </w:p>
    <w:p>
      <w:r>
        <w:rPr>
          <w:b/>
          <w:i w:val="0"/>
        </w:rPr>
        <w:t>OCTAVA. Salario en especie.</w:t>
      </w:r>
      <w:r>
        <w:rPr>
          <w:b w:val="0"/>
          <w:i w:val="0"/>
        </w:rPr>
        <w:t xml:space="preserve"> [Opcional] Se acuerda un descuento por [alojamiento / manutención] del [porcentaje] %, garantizando el pago en metálico de al menos el salario mínimo interprofesional y sin que el descuento total supere el 30 % del salario total (art. 8.2).</w:t>
      </w:r>
    </w:p>
    <w:p>
      <w:r>
        <w:rPr>
          <w:b/>
          <w:i w:val="0"/>
        </w:rPr>
        <w:t>NOVENA. Pagas extraordinarias.</w:t>
      </w:r>
      <w:r>
        <w:rPr>
          <w:b w:val="0"/>
          <w:i w:val="0"/>
        </w:rPr>
        <w:t xml:space="preserve"> Dos gratificaciones extraordinarias al año, en [junio y diciembre / prorrateadas mensualmente], de [importe] euros cada una (art. 8.4).</w:t>
      </w:r>
    </w:p>
    <w:p>
      <w:r>
        <w:rPr>
          <w:b/>
          <w:i w:val="0"/>
        </w:rPr>
        <w:t>DÉCIMA. Vacaciones.</w:t>
      </w:r>
      <w:r>
        <w:rPr>
          <w:b w:val="0"/>
          <w:i w:val="0"/>
        </w:rPr>
        <w:t xml:space="preserve"> 30 días naturales al año, fraccionables en dos o más periodos, uno de ellos de al menos 15 días naturales consecutivos. Las fechas se acordarán entre las partes y se conocerán con dos meses de antelación (art. 9.7).</w:t>
      </w:r>
    </w:p>
    <w:p>
      <w:r>
        <w:rPr>
          <w:b/>
          <w:i w:val="0"/>
        </w:rPr>
        <w:t>UNDÉCIMA. Fiestas y permisos.</w:t>
      </w:r>
      <w:r>
        <w:rPr>
          <w:b w:val="0"/>
          <w:i w:val="0"/>
        </w:rPr>
        <w:t xml:space="preserve"> La persona trabajadora disfrutará de las fiestas laborales y de los permisos del art. 37 del Estatuto de los Trabajadores.</w:t>
      </w:r>
    </w:p>
    <w:p>
      <w:r>
        <w:rPr>
          <w:b/>
          <w:i w:val="0"/>
        </w:rPr>
        <w:t>DUODÉCIMA. Seguridad y salud.</w:t>
      </w:r>
      <w:r>
        <w:rPr>
          <w:b w:val="0"/>
          <w:i w:val="0"/>
        </w:rPr>
        <w:t xml:space="preserve"> La persona empleadora cuidará de que el trabajo se realice en condiciones de seguridad y salud (art. 7.2) y cumplirá el Real Decreto 893/2024, de 10 de septiembre, incluida la evaluación de riesgos del puesto cuando resulte exigible [indicar fecha o forma en que se ha realizado].</w:t>
      </w:r>
    </w:p>
    <w:p>
      <w:r>
        <w:rPr>
          <w:b/>
          <w:i w:val="0"/>
        </w:rPr>
        <w:t>DECIMOTERCERA. Extinción.</w:t>
      </w:r>
      <w:r>
        <w:rPr>
          <w:b w:val="0"/>
          <w:i w:val="0"/>
        </w:rPr>
        <w:t xml:space="preserve"> El contrato podrá extinguirse por las causas del art. 49.1 ET y por las causas justificadas del art. 11.2 del RD 1620/2011 (disminución de ingresos o incremento de gastos sobrevenidos, modificación sustancial de las necesidades familiares, o pérdida razonable y proporcionada de confianza), comunicándolo por escrito con la causa, poniendo a disposición simultáneamente una indemnización de 12 días de salario por año de servicio con el límite de seis mensualidades y con un preaviso de 20 días si la relación supera un año (7 días en los demás casos), sustituible por los salarios de dicho periodo.</w:t>
      </w:r>
    </w:p>
    <w:p>
      <w:r>
        <w:rPr>
          <w:b/>
          <w:i w:val="0"/>
        </w:rPr>
        <w:t>DECIMOCUARTA. Documentación del salario.</w:t>
      </w:r>
      <w:r>
        <w:rPr>
          <w:b w:val="0"/>
          <w:i w:val="0"/>
        </w:rPr>
        <w:t xml:space="preserve"> Se entregará un recibo individual de salarios cada mes (art. 8.6).</w:t>
      </w:r>
    </w:p>
    <w:p>
      <w:r>
        <w:rPr>
          <w:b/>
          <w:i w:val="0"/>
        </w:rPr>
        <w:t>DECIMOQUINTA. Protección de datos y normativa.</w:t>
      </w:r>
      <w:r>
        <w:rPr>
          <w:b w:val="0"/>
          <w:i w:val="0"/>
        </w:rPr>
        <w:t xml:space="preserve"> Los datos se tratarán solo para gestionar la relación laboral. En lo no previsto se estará al RD 1620/2011 y, supletoriamente, a la normativa laboral común.</w:t>
      </w:r>
    </w:p>
    <w:p>
      <w:r>
        <w:rPr>
          <w:b w:val="0"/>
          <w:i w:val="0"/>
        </w:rPr>
        <w:t>Y en prueba de conformidad firman por duplicado.</w:t>
      </w:r>
    </w:p>
    <w:tbl>
      <w:tblPr>
        <w:tblW w:type="auto" w:w="0"/>
        <w:tblLook w:firstColumn="1" w:firstRow="1" w:lastColumn="0" w:lastRow="0" w:noHBand="0" w:noVBand="1" w:val="04A0"/>
      </w:tblPr>
      <w:tblGrid>
        <w:gridCol w:w="4759"/>
        <w:gridCol w:w="4759"/>
      </w:tblGrid>
      <w:tr>
        <w:tc>
          <w:tcPr>
            <w:tcW w:type="dxa" w:w="4759"/>
          </w:tcPr>
          <w:p>
            <w:r/>
            <w:r>
              <w:t>La persona empleadora</w:t>
              <w:br/>
            </w:r>
            <w:r>
              <w:br/>
            </w:r>
            <w:r>
              <w:br/>
            </w:r>
            <w:r>
              <w:t>Fdo.: [nombre]</w:t>
            </w:r>
          </w:p>
        </w:tc>
        <w:tc>
          <w:tcPr>
            <w:tcW w:type="dxa" w:w="4759"/>
          </w:tcPr>
          <w:p>
            <w:r/>
            <w:r>
              <w:t>La persona trabajadora</w:t>
              <w:br/>
            </w:r>
            <w:r>
              <w:br/>
            </w:r>
            <w:r>
              <w:br/>
            </w:r>
            <w:r>
              <w:t>Fdo.: [nombre]</w:t>
            </w:r>
          </w:p>
        </w:tc>
      </w:tr>
    </w:tbl>
    <w:p/>
    <w:p>
      <w:r>
        <w:br w:type="page"/>
      </w:r>
    </w:p>
    <w:p>
      <w:pPr>
        <w:spacing w:before="200"/>
      </w:pPr>
      <w:r>
        <w:rPr>
          <w:b/>
          <w:color w:val="1E3A5F"/>
        </w:rPr>
        <w:t>INSTRUCCIONES DE USO Y COMPROBACIONES (elimina esta página antes de entregar el documento)</w:t>
      </w:r>
    </w:p>
    <w:p>
      <w:pPr>
        <w:pStyle w:val="ListNumber"/>
      </w:pPr>
      <w:r>
        <w:rPr>
          <w:b w:val="0"/>
        </w:rPr>
        <w:t>Cualquiera de las partes puede exigir el contrato por escrito, incluso durante la relación (art. 5.3 RD 1620/2011). Sin pacto escrito se presume indefinido y a jornada completa (art. 5.2).</w:t>
      </w:r>
    </w:p>
    <w:p>
      <w:pPr>
        <w:pStyle w:val="ListNumber"/>
      </w:pPr>
      <w:r>
        <w:rPr>
          <w:b w:val="0"/>
        </w:rPr>
        <w:t>Da de alta a la persona trabajadora en el Sistema Especial para Empleados de Hogar de la Seguridad Social antes de que empiece a trabajar.</w:t>
      </w:r>
    </w:p>
    <w:p>
      <w:pPr>
        <w:pStyle w:val="ListNumber"/>
      </w:pPr>
      <w:r>
        <w:rPr>
          <w:b w:val="0"/>
        </w:rPr>
        <w:t>Si la información de las cláusulas no figura en el contrato, debes facilitarla por escrito: salario en especie, tiempos de presencia y su retribución, y régimen de pernoctas (art. 5.4).</w:t>
      </w:r>
    </w:p>
    <w:p>
      <w:pPr>
        <w:pStyle w:val="ListNumber"/>
      </w:pPr>
      <w:r>
        <w:rPr>
          <w:b w:val="0"/>
        </w:rPr>
        <w:t>Salario: comprueba el salario mínimo interprofesional del año en el real decreto anual publicado en el BOE. Si trabaja por horas en régimen externo, se aplica el salario mínimo por hora para empleados de hogar, que incluye todos los conceptos.</w:t>
      </w:r>
    </w:p>
    <w:p>
      <w:pPr>
        <w:pStyle w:val="ListNumber"/>
      </w:pPr>
      <w:r>
        <w:rPr>
          <w:b w:val="0"/>
        </w:rPr>
        <w:t>Evaluación de riesgos del puesto (RD 893/2024): sus obligaciones son exigibles a los seis meses de que se ponga a disposición la herramienta oficial de evaluación prevista en el propio real decreto. Comprueba en la web del INSST si ya está disponible y haz la evaluación.</w:t>
      </w:r>
    </w:p>
    <w:p>
      <w:pPr>
        <w:pStyle w:val="ListNumber"/>
      </w:pPr>
      <w:r>
        <w:rPr>
          <w:b w:val="0"/>
        </w:rPr>
        <w:t>Para extinguir por las causas del art. 11.2 hazlo por escrito, con la causa clara, y pon la indemnización a disposición en el mismo momento: si no, se presume que has optado por el régimen del despido del Estatuto (art. 11.3).</w:t>
      </w:r>
    </w:p>
    <w:p>
      <w:pPr>
        <w:pStyle w:val="ListNumber"/>
      </w:pPr>
      <w:r>
        <w:rPr>
          <w:b w:val="0"/>
        </w:rPr>
        <w:t>Con la persona interna, la decisión extintiva no puede comunicarse entre las 17:00 y las 8:00 del día siguiente, salvo falta muy grave a los deberes de lealtad y confianza (art. 11.4).</w:t>
      </w:r>
    </w:p>
    <w:p>
      <w:pPr>
        <w:pStyle w:val="ListNumber"/>
      </w:pPr>
      <w:r>
        <w:rPr>
          <w:b w:val="0"/>
        </w:rPr>
        <w:t>Conserva una copia firmada y entrega la otra a la persona trabajadora.</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headerReference w:type="default" r:id="rId9"/>
      <w:footerReference w:type="default" r:id="rId10"/>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empleada de hogar 2026</dc:title>
  <dc:subject>Contrato de trabajo del servicio del hogar familiar (RD 1620/2011)</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