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E3A5F"/>
          <w:sz w:val="28"/>
        </w:rPr>
        <w:t>CUADRANTE ANUAL DE VACACIONES · AÑO [AAAA]</w:t>
      </w:r>
    </w:p>
    <w:p>
      <w:r>
        <w:t>Empresa: [razón social] · Centro / departamento: [ ]</w:t>
        <w:br/>
      </w:r>
      <w:r>
        <w:t>Convenio colectivo: [nombre] · Días de vacaciones por convenio: [nº] [naturales/laborables] · Periodos de cierre o preferentes: [ ]</w:t>
      </w:r>
    </w:p>
    <w:tbl>
      <w:tblPr>
        <w:tblStyle w:val="TableGrid"/>
        <w:tblW w:type="auto" w:w="0"/>
        <w:tblLook w:firstColumn="1" w:firstRow="1" w:lastColumn="0" w:lastRow="0" w:noHBand="0" w:noVBand="1" w:val="04A0"/>
      </w:tblPr>
      <w:tblGrid>
        <w:gridCol w:w="877"/>
        <w:gridCol w:w="877"/>
        <w:gridCol w:w="877"/>
        <w:gridCol w:w="877"/>
        <w:gridCol w:w="877"/>
        <w:gridCol w:w="877"/>
        <w:gridCol w:w="877"/>
        <w:gridCol w:w="877"/>
        <w:gridCol w:w="877"/>
        <w:gridCol w:w="877"/>
        <w:gridCol w:w="877"/>
        <w:gridCol w:w="877"/>
        <w:gridCol w:w="877"/>
        <w:gridCol w:w="877"/>
        <w:gridCol w:w="877"/>
        <w:gridCol w:w="877"/>
      </w:tblGrid>
      <w:tr>
        <w:tc>
          <w:tcPr>
            <w:tcW w:type="dxa" w:w="877"/>
          </w:tcPr>
          <w:p>
            <w:r/>
            <w:r>
              <w:rPr>
                <w:b/>
              </w:rPr>
              <w:t>Persona</w:t>
            </w:r>
          </w:p>
        </w:tc>
        <w:tc>
          <w:tcPr>
            <w:tcW w:type="dxa" w:w="877"/>
          </w:tcPr>
          <w:p>
            <w:r/>
            <w:r>
              <w:rPr>
                <w:b/>
              </w:rPr>
              <w:t>Días/año</w:t>
            </w:r>
          </w:p>
        </w:tc>
        <w:tc>
          <w:tcPr>
            <w:tcW w:type="dxa" w:w="877"/>
          </w:tcPr>
          <w:p>
            <w:r/>
            <w:r>
              <w:rPr>
                <w:b/>
              </w:rPr>
              <w:t>Ene</w:t>
            </w:r>
          </w:p>
        </w:tc>
        <w:tc>
          <w:tcPr>
            <w:tcW w:type="dxa" w:w="877"/>
          </w:tcPr>
          <w:p>
            <w:r/>
            <w:r>
              <w:rPr>
                <w:b/>
              </w:rPr>
              <w:t>Feb</w:t>
            </w:r>
          </w:p>
        </w:tc>
        <w:tc>
          <w:tcPr>
            <w:tcW w:type="dxa" w:w="877"/>
          </w:tcPr>
          <w:p>
            <w:r/>
            <w:r>
              <w:rPr>
                <w:b/>
              </w:rPr>
              <w:t>Mar</w:t>
            </w:r>
          </w:p>
        </w:tc>
        <w:tc>
          <w:tcPr>
            <w:tcW w:type="dxa" w:w="877"/>
          </w:tcPr>
          <w:p>
            <w:r/>
            <w:r>
              <w:rPr>
                <w:b/>
              </w:rPr>
              <w:t>Abr</w:t>
            </w:r>
          </w:p>
        </w:tc>
        <w:tc>
          <w:tcPr>
            <w:tcW w:type="dxa" w:w="877"/>
          </w:tcPr>
          <w:p>
            <w:r/>
            <w:r>
              <w:rPr>
                <w:b/>
              </w:rPr>
              <w:t>May</w:t>
            </w:r>
          </w:p>
        </w:tc>
        <w:tc>
          <w:tcPr>
            <w:tcW w:type="dxa" w:w="877"/>
          </w:tcPr>
          <w:p>
            <w:r/>
            <w:r>
              <w:rPr>
                <w:b/>
              </w:rPr>
              <w:t>Jun</w:t>
            </w:r>
          </w:p>
        </w:tc>
        <w:tc>
          <w:tcPr>
            <w:tcW w:type="dxa" w:w="877"/>
          </w:tcPr>
          <w:p>
            <w:r/>
            <w:r>
              <w:rPr>
                <w:b/>
              </w:rPr>
              <w:t>Jul</w:t>
            </w:r>
          </w:p>
        </w:tc>
        <w:tc>
          <w:tcPr>
            <w:tcW w:type="dxa" w:w="877"/>
          </w:tcPr>
          <w:p>
            <w:r/>
            <w:r>
              <w:rPr>
                <w:b/>
              </w:rPr>
              <w:t>Ago</w:t>
            </w:r>
          </w:p>
        </w:tc>
        <w:tc>
          <w:tcPr>
            <w:tcW w:type="dxa" w:w="877"/>
          </w:tcPr>
          <w:p>
            <w:r/>
            <w:r>
              <w:rPr>
                <w:b/>
              </w:rPr>
              <w:t>Sep</w:t>
            </w:r>
          </w:p>
        </w:tc>
        <w:tc>
          <w:tcPr>
            <w:tcW w:type="dxa" w:w="877"/>
          </w:tcPr>
          <w:p>
            <w:r/>
            <w:r>
              <w:rPr>
                <w:b/>
              </w:rPr>
              <w:t>Oct</w:t>
            </w:r>
          </w:p>
        </w:tc>
        <w:tc>
          <w:tcPr>
            <w:tcW w:type="dxa" w:w="877"/>
          </w:tcPr>
          <w:p>
            <w:r/>
            <w:r>
              <w:rPr>
                <w:b/>
              </w:rPr>
              <w:t>Nov</w:t>
            </w:r>
          </w:p>
        </w:tc>
        <w:tc>
          <w:tcPr>
            <w:tcW w:type="dxa" w:w="877"/>
          </w:tcPr>
          <w:p>
            <w:r/>
            <w:r>
              <w:rPr>
                <w:b/>
              </w:rPr>
              <w:t>Dic</w:t>
            </w:r>
          </w:p>
        </w:tc>
        <w:tc>
          <w:tcPr>
            <w:tcW w:type="dxa" w:w="877"/>
          </w:tcPr>
          <w:p>
            <w:r/>
            <w:r>
              <w:rPr>
                <w:b/>
              </w:rPr>
              <w:t>Días asignados</w:t>
            </w:r>
          </w:p>
        </w:tc>
        <w:tc>
          <w:tcPr>
            <w:tcW w:type="dxa" w:w="877"/>
          </w:tcPr>
          <w:p>
            <w:r/>
            <w:r>
              <w:rPr>
                <w:b/>
              </w:rPr>
              <w:t>Pendientes</w:t>
            </w:r>
          </w:p>
        </w:tc>
      </w:tr>
      <w:tr>
        <w:tc>
          <w:tcPr>
            <w:tcW w:type="dxa" w:w="877"/>
          </w:tcPr>
          <w:p>
            <w:r>
              <w:t>[Persona 1]</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2]</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3]</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4]</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5]</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6]</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7]</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8]</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9]</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10]</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11]</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r>
        <w:tc>
          <w:tcPr>
            <w:tcW w:type="dxa" w:w="877"/>
          </w:tcPr>
          <w:p>
            <w:r>
              <w:t>[Persona 12]</w:t>
            </w:r>
          </w:p>
        </w:tc>
        <w:tc>
          <w:tcPr>
            <w:tcW w:type="dxa" w:w="877"/>
          </w:tcPr>
          <w:p>
            <w:r>
              <w:t>[ ]</w:t>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p>
        </w:tc>
        <w:tc>
          <w:tcPr>
            <w:tcW w:type="dxa" w:w="877"/>
          </w:tcPr>
          <w:p>
            <w:r>
              <w:t>[ ]</w:t>
            </w:r>
          </w:p>
        </w:tc>
        <w:tc>
          <w:tcPr>
            <w:tcW w:type="dxa" w:w="877"/>
          </w:tcPr>
          <w:p>
            <w:r>
              <w:t>[ ]</w:t>
            </w:r>
          </w:p>
        </w:tc>
      </w:tr>
    </w:tbl>
    <w:p/>
    <w:p>
      <w:r>
        <w:rPr>
          <w:b w:val="0"/>
          <w:i/>
          <w:sz w:val="18"/>
        </w:rPr>
        <w:t>Leyenda: marca en cada mes los días o el periodo asignado (p. ej., «1-15»). Comprueba que en ningún periodo quede el servicio sin cubrir y que cada persona sume los días del convenio.</w:t>
      </w:r>
    </w:p>
    <w:p>
      <w:pPr>
        <w:sectPr>
          <w:headerReference w:type="default" r:id="rId9"/>
          <w:footerReference w:type="default" r:id="rId10"/>
          <w:pgSz w:w="15840" w:h="12240" w:orient="landscape"/>
          <w:pgMar w:top="1134" w:right="907" w:bottom="1134" w:left="907" w:header="720" w:footer="720" w:gutter="0"/>
          <w:cols w:space="720"/>
          <w:docGrid w:linePitch="360"/>
        </w:sectPr>
      </w:pPr>
    </w:p>
    <w:p>
      <w:pPr>
        <w:spacing w:before="200"/>
      </w:pPr>
      <w:r>
        <w:rPr>
          <w:b/>
          <w:color w:val="1E3A5F"/>
        </w:rPr>
        <w:t>COMUNICACIÓN DEL CALENDARIO DE VACACIONES A LA PLANTILLA</w:t>
      </w:r>
    </w:p>
    <w:p>
      <w:r>
        <w:t>[NOMBRE O RAZÓN SOCIAL DE LA EMPRESA]</w:t>
        <w:br/>
      </w:r>
      <w:r>
        <w:t>CIF: [número]</w:t>
        <w:br/>
      </w:r>
      <w:r>
        <w:t>Domicilio: [dirección completa]</w:t>
      </w:r>
    </w:p>
    <w:p>
      <w:r>
        <w:rPr>
          <w:b w:val="0"/>
          <w:i w:val="0"/>
        </w:rPr>
        <w:t>En [localidad], a [día] de [mes] de [año].</w:t>
      </w:r>
    </w:p>
    <w:p>
      <w:r>
        <w:rPr>
          <w:b w:val="0"/>
          <w:i w:val="0"/>
        </w:rPr>
        <w:t>A la plantilla del centro [nombre del centro] [y a la representación legal de las personas trabajadoras]:</w:t>
      </w:r>
    </w:p>
    <w:p>
      <w:pPr>
        <w:jc w:val="both"/>
      </w:pPr>
      <w:r>
        <w:rPr>
          <w:b w:val="0"/>
          <w:i w:val="0"/>
        </w:rPr>
        <w:t>De conformidad con el art. 38 del Estatuto de los Trabajadores y con el art. [nº] del [convenio colectivo aplicable], se comunica el calendario de vacaciones del año [AAAA], fijado [de común acuerdo con cada persona trabajadora / conforme a los criterios de planificación del convenio], que figura en el cuadrante adjunto.</w:t>
      </w:r>
    </w:p>
    <w:p>
      <w:pPr>
        <w:jc w:val="both"/>
      </w:pPr>
      <w:r>
        <w:rPr>
          <w:b w:val="0"/>
          <w:i w:val="0"/>
        </w:rPr>
        <w:t>Cada persona trabajadora conoce con esta comunicación las fechas que le corresponden con, al menos, dos meses de antelación al comienzo de su disfrute (art. 38.3 ET). En caso de desacuerdo con las fechas, puede plantearse ante la jurisdicción social, que las fijará por un procedimiento sumario y preferente (art. 38.2 ET).</w:t>
      </w:r>
    </w:p>
    <w:p>
      <w:pPr>
        <w:jc w:val="both"/>
      </w:pPr>
      <w:r>
        <w:rPr>
          <w:b w:val="0"/>
          <w:i w:val="0"/>
        </w:rPr>
        <w:t>Si el periodo asignado coincide con una incapacidad temporal derivada del embarazo, el parto o la lactancia natural, o con la suspensión del contrato por nacimiento y cuidado de menor u otros supuestos del art. 48.4, 5 y 7 ET, las vacaciones se disfrutarán en fecha distinta, aunque haya terminado el año natural. Si coincide con una incapacidad temporal por otras contingencias que impida disfrutarlas en el año, podrán disfrutarse al finalizar esta, siempre que no hayan transcurrido más de dieciocho meses desde el final del año en que se originaron (art. 38.3 ET).</w:t>
      </w:r>
    </w:p>
    <w:tbl>
      <w:tblPr>
        <w:tblW w:type="auto" w:w="0"/>
        <w:tblLook w:firstColumn="1" w:firstRow="1" w:lastColumn="0" w:lastRow="0" w:noHBand="0" w:noVBand="1" w:val="04A0"/>
      </w:tblPr>
      <w:tblGrid>
        <w:gridCol w:w="4759"/>
        <w:gridCol w:w="4759"/>
      </w:tblGrid>
      <w:tr>
        <w:tc>
          <w:tcPr>
            <w:tcW w:type="dxa" w:w="4759"/>
          </w:tcPr>
          <w:p>
            <w:r/>
            <w:r>
              <w:t>Por la empresa</w:t>
              <w:br/>
            </w:r>
            <w:r>
              <w:br/>
            </w:r>
            <w:r>
              <w:t>Fdo.: [nombre y cargo]</w:t>
            </w:r>
          </w:p>
        </w:tc>
        <w:tc>
          <w:tcPr>
            <w:tcW w:type="dxa" w:w="4759"/>
          </w:tcPr>
          <w:p>
            <w:r/>
            <w:r>
              <w:t>Recibí (nombre, fecha y firma)</w:t>
              <w:br/>
            </w:r>
            <w:r>
              <w:br/>
            </w:r>
            <w:r>
              <w:t>Fdo.:</w:t>
            </w:r>
          </w:p>
        </w:tc>
      </w:tr>
    </w:tbl>
    <w:p/>
    <w:p>
      <w:pPr>
        <w:spacing w:before="200"/>
      </w:pPr>
      <w:r>
        <w:rPr>
          <w:b/>
          <w:color w:val="1E3A5F"/>
        </w:rPr>
        <w:t>SOLICITUD DE CAMBIO DE FECHAS</w:t>
      </w:r>
    </w:p>
    <w:p>
      <w:pPr>
        <w:jc w:val="both"/>
      </w:pPr>
      <w:r>
        <w:rPr>
          <w:b w:val="0"/>
          <w:i w:val="0"/>
        </w:rPr>
        <w:t>D./D.ª [nombre], puesto [puesto], solicita sustituir el periodo asignado del [fecha] al [fecha] por el periodo del [fecha] al [fecha], por [motivo, opcional]. Respuesta de la empresa: ☐ Aceptado ☐ No aceptado, por [motivo] · Fecha: [ ]</w:t>
      </w:r>
    </w:p>
    <w:tbl>
      <w:tblPr>
        <w:tblW w:type="auto" w:w="0"/>
        <w:tblLook w:firstColumn="1" w:firstRow="1" w:lastColumn="0" w:lastRow="0" w:noHBand="0" w:noVBand="1" w:val="04A0"/>
      </w:tblPr>
      <w:tblGrid>
        <w:gridCol w:w="4759"/>
        <w:gridCol w:w="4759"/>
      </w:tblGrid>
      <w:tr>
        <w:tc>
          <w:tcPr>
            <w:tcW w:type="dxa" w:w="4759"/>
          </w:tcPr>
          <w:p>
            <w:r/>
            <w:r>
              <w:t>Fdo.: la persona trabajadora</w:t>
            </w:r>
          </w:p>
        </w:tc>
        <w:tc>
          <w:tcPr>
            <w:tcW w:type="dxa" w:w="4759"/>
          </w:tcPr>
          <w:p>
            <w:r/>
            <w:r>
              <w:t>Fdo.: la empresa</w:t>
            </w:r>
          </w:p>
        </w:tc>
      </w:tr>
    </w:tbl>
    <w:p/>
    <w:p>
      <w:r>
        <w:br w:type="page"/>
      </w:r>
    </w:p>
    <w:p>
      <w:pPr>
        <w:spacing w:before="200"/>
      </w:pPr>
      <w:r>
        <w:rPr>
          <w:b/>
          <w:color w:val="1E3A5F"/>
        </w:rPr>
        <w:t>INSTRUCCIONES DE USO Y COMPROBACIONES (elimina esta página antes de entregar el documento)</w:t>
      </w:r>
    </w:p>
    <w:p>
      <w:pPr>
        <w:pStyle w:val="ListNumber"/>
      </w:pPr>
      <w:r>
        <w:rPr>
          <w:b w:val="0"/>
        </w:rPr>
        <w:t>La duración mínima es de treinta días naturales por año completo de servicios; el convenio o el contrato pueden mejorarla (art. 38.1 ET). Si alguien no ha trabajado el año completo, calcula la parte proporcional.</w:t>
      </w:r>
    </w:p>
    <w:p>
      <w:pPr>
        <w:pStyle w:val="ListNumber"/>
      </w:pPr>
      <w:r>
        <w:rPr>
          <w:b w:val="0"/>
        </w:rPr>
        <w:t>Las vacaciones no se pueden sustituir por dinero mientras el contrato esté vivo. Solo se pagan las no disfrutadas al extinguirse el contrato, en el finiquito.</w:t>
      </w:r>
    </w:p>
    <w:p>
      <w:pPr>
        <w:pStyle w:val="ListNumber"/>
      </w:pPr>
      <w:r>
        <w:rPr>
          <w:b w:val="0"/>
        </w:rPr>
        <w:t>Revisa si tu convenio regula la planificación anual: plazos para pedir fechas, turnos rotatorios, periodos de cierre o preferencia de quienes tienen responsabilidades familiares.</w:t>
      </w:r>
    </w:p>
    <w:p>
      <w:pPr>
        <w:pStyle w:val="ListNumber"/>
      </w:pPr>
      <w:r>
        <w:rPr>
          <w:b w:val="0"/>
        </w:rPr>
        <w:t>Publica o entrega el calendario con tiempo suficiente para que cada persona conozca sus fechas al menos dos meses antes de empezar a disfrutarlas (art. 38.3 ET), y conserva prueba de la entrega.</w:t>
      </w:r>
    </w:p>
    <w:p>
      <w:pPr>
        <w:pStyle w:val="ListNumber"/>
      </w:pPr>
      <w:r>
        <w:rPr>
          <w:b w:val="0"/>
        </w:rPr>
        <w:t>Si una persona no está de acuerdo, puede demandar para que el juzgado fije la fecha; el plazo para presentar la demanda es breve (art. 125 de la Ley reguladora de la jurisdicción social).</w:t>
      </w:r>
    </w:p>
    <w:p>
      <w:pPr>
        <w:pStyle w:val="ListNumber"/>
      </w:pPr>
      <w:r>
        <w:rPr>
          <w:b w:val="0"/>
        </w:rPr>
        <w:t>Anota en el cuadrante los cambios acordados por escrito para que el saldo de días pendientes cuadre a final de año.</w:t>
      </w:r>
    </w:p>
    <w:p>
      <w:r>
        <w:rPr>
          <w:b w:val="0"/>
          <w:i/>
          <w:sz w:val="18"/>
        </w:rPr>
        <w:t>Modelo orientativo de carácter general elaborado por la Redacción de Ofizio (Mercadonet Global S.L.). No es asesoramiento jurídico: comprueba la redacción vigente de la norma en el BOE y tu convenio colectivo, y consulta con una asesoría laboral o un abogado si hay riesgo de conflicto.</w:t>
      </w:r>
    </w:p>
    <w:sectPr w:rsidR="00FC693F" w:rsidRPr="0006063C" w:rsidSect="00034616">
      <w:pgSz w:w="12240" w:h="15840"/>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7280"/>
        <w:sz w:val="16"/>
      </w:rPr>
      <w:t>Plantilla gratuita de ofizio.eu · Redacción Ofizio · Mercadonet Global S.L. · No constituye asesoramiento jurídico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7280"/>
        <w:sz w:val="16"/>
      </w:rPr>
      <w:t>Modelo orientativo de Ofizio (ofizio.eu) · Adáptalo a tu caso y a tu convenio colectivo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Cuadrante de vacaciones de empleados 2026</dc:title>
  <dc:subject>Planificación anual de vacaciones (art. 38 ET)</dc:subject>
  <dc:creator>Redacción Ofizio · Mercadonet Global S.L.</dc:creator>
  <cp:keywords>ofizio, plantilla laboral, modelo</cp:keywords>
  <dc:description>Modelo orientativo. Revise la normativa vigente y su convenio colectivo.</dc:description>
  <cp:lastModifiedBy>Redacción Ofizio</cp:lastModifiedBy>
  <cp:revision>1</cp:revision>
  <dcterms:created xsi:type="dcterms:W3CDTF">2026-10-08T09:00:00Z</dcterms:created>
  <dcterms:modified xsi:type="dcterms:W3CDTF">2026-10-08T09:00:00Z</dcterms:modified>
  <cp:category/>
</cp:coreProperties>
</file>